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34A7" w14:textId="575C6200" w:rsidR="00E46C23" w:rsidRPr="00DB6EAA" w:rsidRDefault="00E46C23" w:rsidP="00DB6EAA">
      <w:pPr>
        <w:jc w:val="center"/>
        <w:rPr>
          <w:sz w:val="48"/>
          <w:szCs w:val="48"/>
        </w:rPr>
      </w:pPr>
      <w:r w:rsidRPr="00DB6EAA">
        <w:rPr>
          <w:sz w:val="48"/>
          <w:szCs w:val="48"/>
        </w:rPr>
        <w:t>The “Casual Consumer in a Hurry”</w:t>
      </w:r>
      <w:r w:rsidR="00DB6EAA">
        <w:rPr>
          <w:sz w:val="48"/>
          <w:szCs w:val="48"/>
        </w:rPr>
        <w:t>: The Need For a Living Standard</w:t>
      </w:r>
    </w:p>
    <w:p w14:paraId="7AF8496D" w14:textId="2225CF7D" w:rsidR="00DB6EAA" w:rsidRDefault="00DB6EAA" w:rsidP="00DB6EAA">
      <w:pPr>
        <w:jc w:val="center"/>
      </w:pPr>
    </w:p>
    <w:p w14:paraId="657C12ED" w14:textId="0E287DA8" w:rsidR="00DB6EAA" w:rsidRDefault="00DB6EAA" w:rsidP="00DB6EAA">
      <w:pPr>
        <w:jc w:val="center"/>
      </w:pPr>
      <w:r>
        <w:t>Vishay Sharma</w:t>
      </w:r>
    </w:p>
    <w:p w14:paraId="62C86B61" w14:textId="59EA8B68" w:rsidR="00DB6EAA" w:rsidRDefault="00DB6EAA" w:rsidP="00DB6EAA">
      <w:pPr>
        <w:jc w:val="center"/>
      </w:pPr>
      <w:r>
        <w:t>IP LAW 422</w:t>
      </w:r>
    </w:p>
    <w:p w14:paraId="15F2F19F" w14:textId="441A3E8F" w:rsidR="00DB6EAA" w:rsidRPr="00DB6EAA" w:rsidRDefault="00DB6EAA" w:rsidP="00DB6EAA">
      <w:pPr>
        <w:jc w:val="center"/>
      </w:pPr>
      <w:r>
        <w:t>Spring 2021</w:t>
      </w:r>
    </w:p>
    <w:p w14:paraId="2B2144DB" w14:textId="77777777" w:rsidR="00DB6EAA" w:rsidRDefault="00DB6EAA">
      <w:pPr>
        <w:rPr>
          <w:b/>
          <w:bCs/>
          <w:u w:val="single"/>
        </w:rPr>
      </w:pPr>
    </w:p>
    <w:p w14:paraId="66FDC50A" w14:textId="77777777" w:rsidR="00DB6EAA" w:rsidRDefault="00DB6EAA">
      <w:pPr>
        <w:rPr>
          <w:b/>
          <w:bCs/>
          <w:u w:val="single"/>
        </w:rPr>
      </w:pPr>
    </w:p>
    <w:p w14:paraId="46F08AF4" w14:textId="77777777" w:rsidR="00DB6EAA" w:rsidRDefault="00DB6EAA">
      <w:pPr>
        <w:rPr>
          <w:b/>
          <w:bCs/>
          <w:u w:val="single"/>
        </w:rPr>
      </w:pPr>
    </w:p>
    <w:p w14:paraId="0DE6BAE1" w14:textId="77777777" w:rsidR="00DB6EAA" w:rsidRDefault="00DB6EAA">
      <w:pPr>
        <w:rPr>
          <w:b/>
          <w:bCs/>
          <w:u w:val="single"/>
        </w:rPr>
      </w:pPr>
    </w:p>
    <w:p w14:paraId="68422226" w14:textId="77777777" w:rsidR="00DB6EAA" w:rsidRDefault="00DB6EAA">
      <w:pPr>
        <w:rPr>
          <w:b/>
          <w:bCs/>
          <w:u w:val="single"/>
        </w:rPr>
      </w:pPr>
    </w:p>
    <w:p w14:paraId="403FA8F5" w14:textId="77777777" w:rsidR="00DB6EAA" w:rsidRDefault="00DB6EAA">
      <w:pPr>
        <w:rPr>
          <w:b/>
          <w:bCs/>
          <w:u w:val="single"/>
        </w:rPr>
      </w:pPr>
    </w:p>
    <w:p w14:paraId="1E9D3EA5" w14:textId="77777777" w:rsidR="00DB6EAA" w:rsidRDefault="00DB6EAA">
      <w:pPr>
        <w:rPr>
          <w:b/>
          <w:bCs/>
          <w:u w:val="single"/>
        </w:rPr>
      </w:pPr>
    </w:p>
    <w:p w14:paraId="6C077489" w14:textId="77777777" w:rsidR="00DB6EAA" w:rsidRDefault="00DB6EAA">
      <w:pPr>
        <w:rPr>
          <w:b/>
          <w:bCs/>
          <w:u w:val="single"/>
        </w:rPr>
      </w:pPr>
    </w:p>
    <w:p w14:paraId="4CA39B54" w14:textId="77777777" w:rsidR="00DB6EAA" w:rsidRDefault="00DB6EAA">
      <w:pPr>
        <w:rPr>
          <w:b/>
          <w:bCs/>
          <w:u w:val="single"/>
        </w:rPr>
      </w:pPr>
    </w:p>
    <w:p w14:paraId="541E2044" w14:textId="77777777" w:rsidR="00DB6EAA" w:rsidRDefault="00DB6EAA">
      <w:pPr>
        <w:rPr>
          <w:b/>
          <w:bCs/>
          <w:u w:val="single"/>
        </w:rPr>
      </w:pPr>
    </w:p>
    <w:p w14:paraId="07B66300" w14:textId="77777777" w:rsidR="00DB6EAA" w:rsidRDefault="00DB6EAA">
      <w:pPr>
        <w:rPr>
          <w:b/>
          <w:bCs/>
          <w:u w:val="single"/>
        </w:rPr>
      </w:pPr>
    </w:p>
    <w:p w14:paraId="61D2B06D" w14:textId="77777777" w:rsidR="00DB6EAA" w:rsidRDefault="00DB6EAA">
      <w:pPr>
        <w:rPr>
          <w:b/>
          <w:bCs/>
          <w:u w:val="single"/>
        </w:rPr>
      </w:pPr>
    </w:p>
    <w:p w14:paraId="73D45FF1" w14:textId="77777777" w:rsidR="00DB6EAA" w:rsidRDefault="00DB6EAA">
      <w:pPr>
        <w:rPr>
          <w:b/>
          <w:bCs/>
          <w:u w:val="single"/>
        </w:rPr>
      </w:pPr>
    </w:p>
    <w:p w14:paraId="63FFD48C" w14:textId="77777777" w:rsidR="00DB6EAA" w:rsidRDefault="00DB6EAA">
      <w:pPr>
        <w:rPr>
          <w:b/>
          <w:bCs/>
          <w:u w:val="single"/>
        </w:rPr>
      </w:pPr>
    </w:p>
    <w:p w14:paraId="0DCC1FDD" w14:textId="77777777" w:rsidR="00DB6EAA" w:rsidRDefault="00DB6EAA">
      <w:pPr>
        <w:rPr>
          <w:b/>
          <w:bCs/>
          <w:u w:val="single"/>
        </w:rPr>
      </w:pPr>
    </w:p>
    <w:p w14:paraId="712D2C4F" w14:textId="77777777" w:rsidR="00DB6EAA" w:rsidRDefault="00DB6EAA">
      <w:pPr>
        <w:rPr>
          <w:b/>
          <w:bCs/>
          <w:u w:val="single"/>
        </w:rPr>
      </w:pPr>
    </w:p>
    <w:p w14:paraId="2DDE2ECE" w14:textId="77777777" w:rsidR="00DB6EAA" w:rsidRDefault="00DB6EAA">
      <w:pPr>
        <w:rPr>
          <w:b/>
          <w:bCs/>
          <w:u w:val="single"/>
        </w:rPr>
      </w:pPr>
    </w:p>
    <w:p w14:paraId="4FDB6CE8" w14:textId="77777777" w:rsidR="00DB6EAA" w:rsidRDefault="00DB6EAA">
      <w:pPr>
        <w:rPr>
          <w:b/>
          <w:bCs/>
          <w:u w:val="single"/>
        </w:rPr>
      </w:pPr>
    </w:p>
    <w:p w14:paraId="51D2F492" w14:textId="77777777" w:rsidR="00DB6EAA" w:rsidRDefault="00DB6EAA">
      <w:pPr>
        <w:rPr>
          <w:b/>
          <w:bCs/>
          <w:u w:val="single"/>
        </w:rPr>
      </w:pPr>
    </w:p>
    <w:p w14:paraId="2AF383F5" w14:textId="77777777" w:rsidR="00DB6EAA" w:rsidRDefault="00DB6EAA">
      <w:pPr>
        <w:rPr>
          <w:b/>
          <w:bCs/>
          <w:u w:val="single"/>
        </w:rPr>
      </w:pPr>
    </w:p>
    <w:p w14:paraId="14DC2221" w14:textId="77777777" w:rsidR="00DB6EAA" w:rsidRDefault="00DB6EAA">
      <w:pPr>
        <w:rPr>
          <w:b/>
          <w:bCs/>
          <w:u w:val="single"/>
        </w:rPr>
      </w:pPr>
    </w:p>
    <w:p w14:paraId="69B13CF6" w14:textId="77777777" w:rsidR="00DB6EAA" w:rsidRDefault="00DB6EAA">
      <w:pPr>
        <w:rPr>
          <w:b/>
          <w:bCs/>
          <w:u w:val="single"/>
        </w:rPr>
      </w:pPr>
    </w:p>
    <w:p w14:paraId="032B4F26" w14:textId="536F237C" w:rsidR="00930BBC" w:rsidRPr="006254CA" w:rsidRDefault="009916AB">
      <w:pPr>
        <w:rPr>
          <w:b/>
          <w:bCs/>
          <w:sz w:val="24"/>
          <w:szCs w:val="24"/>
          <w:u w:val="single"/>
        </w:rPr>
      </w:pPr>
      <w:r w:rsidRPr="006254CA">
        <w:rPr>
          <w:b/>
          <w:bCs/>
          <w:sz w:val="24"/>
          <w:szCs w:val="24"/>
          <w:u w:val="single"/>
        </w:rPr>
        <w:lastRenderedPageBreak/>
        <w:t xml:space="preserve">Introduction: The fluidity of technological understanding </w:t>
      </w:r>
    </w:p>
    <w:p w14:paraId="163DCD18" w14:textId="60D0E974" w:rsidR="00BC5067" w:rsidRPr="006254CA" w:rsidRDefault="009916AB" w:rsidP="00733012">
      <w:pPr>
        <w:ind w:firstLine="720"/>
        <w:rPr>
          <w:sz w:val="24"/>
          <w:szCs w:val="24"/>
        </w:rPr>
      </w:pPr>
      <w:r w:rsidRPr="006254CA">
        <w:rPr>
          <w:sz w:val="24"/>
          <w:szCs w:val="24"/>
        </w:rPr>
        <w:t xml:space="preserve">Technology </w:t>
      </w:r>
      <w:r w:rsidR="00BF6CD9">
        <w:rPr>
          <w:sz w:val="24"/>
          <w:szCs w:val="24"/>
        </w:rPr>
        <w:t xml:space="preserve">and its use </w:t>
      </w:r>
      <w:r w:rsidR="00733012" w:rsidRPr="006254CA">
        <w:rPr>
          <w:sz w:val="24"/>
          <w:szCs w:val="24"/>
        </w:rPr>
        <w:t>changes at a rapid pace</w:t>
      </w:r>
      <w:r w:rsidRPr="006254CA">
        <w:rPr>
          <w:sz w:val="24"/>
          <w:szCs w:val="24"/>
        </w:rPr>
        <w:t>. As I write this paper, the world is now one year from when the World Health Organization declared SARS-COVID-19 a global pandemic</w:t>
      </w:r>
      <w:r w:rsidR="00733012" w:rsidRPr="006254CA">
        <w:rPr>
          <w:sz w:val="24"/>
          <w:szCs w:val="24"/>
        </w:rPr>
        <w:t xml:space="preserve">. In response to </w:t>
      </w:r>
      <w:r w:rsidRPr="006254CA">
        <w:rPr>
          <w:sz w:val="24"/>
          <w:szCs w:val="24"/>
        </w:rPr>
        <w:t>social distancing</w:t>
      </w:r>
      <w:r w:rsidR="00733012" w:rsidRPr="006254CA">
        <w:rPr>
          <w:sz w:val="24"/>
          <w:szCs w:val="24"/>
        </w:rPr>
        <w:t xml:space="preserve"> measures, society</w:t>
      </w:r>
      <w:r w:rsidRPr="006254CA">
        <w:rPr>
          <w:sz w:val="24"/>
          <w:szCs w:val="24"/>
        </w:rPr>
        <w:t xml:space="preserve"> </w:t>
      </w:r>
      <w:r w:rsidR="00BF6CD9">
        <w:rPr>
          <w:sz w:val="24"/>
          <w:szCs w:val="24"/>
        </w:rPr>
        <w:t xml:space="preserve">began to use technology, much of which is patented and trademarked, </w:t>
      </w:r>
      <w:r w:rsidRPr="006254CA">
        <w:rPr>
          <w:sz w:val="24"/>
          <w:szCs w:val="24"/>
        </w:rPr>
        <w:t>to both work from home</w:t>
      </w:r>
      <w:r w:rsidR="00BF6CD9">
        <w:rPr>
          <w:sz w:val="24"/>
          <w:szCs w:val="24"/>
        </w:rPr>
        <w:t xml:space="preserve"> </w:t>
      </w:r>
      <w:r w:rsidRPr="006254CA">
        <w:rPr>
          <w:sz w:val="24"/>
          <w:szCs w:val="24"/>
        </w:rPr>
        <w:t>and to socialize. Many individuals had never</w:t>
      </w:r>
      <w:r w:rsidR="00B96FF6">
        <w:rPr>
          <w:sz w:val="24"/>
          <w:szCs w:val="24"/>
        </w:rPr>
        <w:t xml:space="preserve"> used</w:t>
      </w:r>
      <w:r w:rsidRPr="006254CA">
        <w:rPr>
          <w:sz w:val="24"/>
          <w:szCs w:val="24"/>
        </w:rPr>
        <w:t xml:space="preserve"> </w:t>
      </w:r>
      <w:r w:rsidR="00BF6CD9">
        <w:rPr>
          <w:sz w:val="24"/>
          <w:szCs w:val="24"/>
        </w:rPr>
        <w:t xml:space="preserve">such </w:t>
      </w:r>
      <w:r w:rsidRPr="006254CA">
        <w:rPr>
          <w:sz w:val="24"/>
          <w:szCs w:val="24"/>
        </w:rPr>
        <w:t>technology</w:t>
      </w:r>
      <w:r w:rsidR="00BF6CD9">
        <w:rPr>
          <w:sz w:val="24"/>
          <w:szCs w:val="24"/>
        </w:rPr>
        <w:t xml:space="preserve"> </w:t>
      </w:r>
      <w:r w:rsidRPr="006254CA">
        <w:rPr>
          <w:sz w:val="24"/>
          <w:szCs w:val="24"/>
        </w:rPr>
        <w:t xml:space="preserve">before. </w:t>
      </w:r>
      <w:r w:rsidR="00733012" w:rsidRPr="006254CA">
        <w:rPr>
          <w:sz w:val="24"/>
          <w:szCs w:val="24"/>
        </w:rPr>
        <w:t>This is illustrated perfectly when one considers the word “zoom”</w:t>
      </w:r>
      <w:r w:rsidR="00B96FF6">
        <w:rPr>
          <w:sz w:val="24"/>
          <w:szCs w:val="24"/>
        </w:rPr>
        <w:t>.</w:t>
      </w:r>
      <w:r w:rsidRPr="006254CA">
        <w:rPr>
          <w:sz w:val="24"/>
          <w:szCs w:val="24"/>
        </w:rPr>
        <w:t xml:space="preserve"> </w:t>
      </w:r>
      <w:r w:rsidR="00B96FF6">
        <w:rPr>
          <w:sz w:val="24"/>
          <w:szCs w:val="24"/>
        </w:rPr>
        <w:t>T</w:t>
      </w:r>
      <w:r w:rsidRPr="006254CA">
        <w:rPr>
          <w:sz w:val="24"/>
          <w:szCs w:val="24"/>
        </w:rPr>
        <w:t>oday</w:t>
      </w:r>
      <w:r w:rsidR="00733012" w:rsidRPr="006254CA">
        <w:rPr>
          <w:sz w:val="24"/>
          <w:szCs w:val="24"/>
        </w:rPr>
        <w:t xml:space="preserve"> </w:t>
      </w:r>
      <w:r w:rsidR="00B96FF6">
        <w:rPr>
          <w:sz w:val="24"/>
          <w:szCs w:val="24"/>
        </w:rPr>
        <w:t>t</w:t>
      </w:r>
      <w:r w:rsidR="00BF6CD9">
        <w:rPr>
          <w:sz w:val="24"/>
          <w:szCs w:val="24"/>
        </w:rPr>
        <w:t>here is a strong degree of association with this word with a certain video calling program.</w:t>
      </w:r>
      <w:r w:rsidRPr="006254CA">
        <w:rPr>
          <w:sz w:val="24"/>
          <w:szCs w:val="24"/>
        </w:rPr>
        <w:t xml:space="preserve"> </w:t>
      </w:r>
      <w:r w:rsidR="00BF6CD9">
        <w:rPr>
          <w:sz w:val="24"/>
          <w:szCs w:val="24"/>
        </w:rPr>
        <w:t xml:space="preserve">If someone was to hear </w:t>
      </w:r>
      <w:r w:rsidR="00733012" w:rsidRPr="006254CA">
        <w:rPr>
          <w:sz w:val="24"/>
          <w:szCs w:val="24"/>
        </w:rPr>
        <w:t>this word a little over a year ago</w:t>
      </w:r>
      <w:r w:rsidRPr="006254CA">
        <w:rPr>
          <w:sz w:val="24"/>
          <w:szCs w:val="24"/>
        </w:rPr>
        <w:t>,</w:t>
      </w:r>
      <w:r w:rsidR="00BF6CD9">
        <w:rPr>
          <w:sz w:val="24"/>
          <w:szCs w:val="24"/>
        </w:rPr>
        <w:t xml:space="preserve"> this same association would likely not occur, the average person would not associate the word zoom with video calling, but rather</w:t>
      </w:r>
      <w:r w:rsidRPr="006254CA">
        <w:rPr>
          <w:sz w:val="24"/>
          <w:szCs w:val="24"/>
        </w:rPr>
        <w:t xml:space="preserve"> with</w:t>
      </w:r>
      <w:r w:rsidR="00733012" w:rsidRPr="006254CA">
        <w:rPr>
          <w:sz w:val="24"/>
          <w:szCs w:val="24"/>
        </w:rPr>
        <w:t xml:space="preserve"> something completely different, such as a degree of speed</w:t>
      </w:r>
      <w:r w:rsidRPr="006254CA">
        <w:rPr>
          <w:sz w:val="24"/>
          <w:szCs w:val="24"/>
        </w:rPr>
        <w:t>.</w:t>
      </w:r>
      <w:r w:rsidR="00BF6CD9">
        <w:rPr>
          <w:sz w:val="24"/>
          <w:szCs w:val="24"/>
        </w:rPr>
        <w:t xml:space="preserve"> Therefore, </w:t>
      </w:r>
      <w:r w:rsidR="00BF6CD9" w:rsidRPr="006254CA">
        <w:rPr>
          <w:sz w:val="24"/>
          <w:szCs w:val="24"/>
        </w:rPr>
        <w:t>the</w:t>
      </w:r>
      <w:r w:rsidR="00BF6CD9">
        <w:rPr>
          <w:sz w:val="24"/>
          <w:szCs w:val="24"/>
        </w:rPr>
        <w:t xml:space="preserve"> word “zoom” as well as the use of video calling technology and other services </w:t>
      </w:r>
      <w:r w:rsidR="00B96FF6">
        <w:rPr>
          <w:sz w:val="24"/>
          <w:szCs w:val="24"/>
        </w:rPr>
        <w:t xml:space="preserve">used to promote physical distancing </w:t>
      </w:r>
      <w:r w:rsidR="00BF6CD9">
        <w:rPr>
          <w:sz w:val="24"/>
          <w:szCs w:val="24"/>
        </w:rPr>
        <w:t>a</w:t>
      </w:r>
      <w:r w:rsidR="00B96FF6">
        <w:rPr>
          <w:sz w:val="24"/>
          <w:szCs w:val="24"/>
        </w:rPr>
        <w:t>re contained in the average individuals wealth of knowledge which they carry with them</w:t>
      </w:r>
      <w:r w:rsidRPr="006254CA">
        <w:rPr>
          <w:sz w:val="24"/>
          <w:szCs w:val="24"/>
        </w:rPr>
        <w:t xml:space="preserve">. </w:t>
      </w:r>
      <w:r w:rsidR="00B96FF6">
        <w:rPr>
          <w:sz w:val="24"/>
          <w:szCs w:val="24"/>
        </w:rPr>
        <w:t xml:space="preserve">Now the average consumer </w:t>
      </w:r>
      <w:r w:rsidR="00B96FF6" w:rsidRPr="006254CA">
        <w:rPr>
          <w:sz w:val="24"/>
          <w:szCs w:val="24"/>
        </w:rPr>
        <w:t>understands</w:t>
      </w:r>
      <w:r w:rsidRPr="006254CA">
        <w:rPr>
          <w:sz w:val="24"/>
          <w:szCs w:val="24"/>
        </w:rPr>
        <w:t xml:space="preserve"> what a video call is</w:t>
      </w:r>
      <w:r w:rsidR="00BF6CD9">
        <w:rPr>
          <w:sz w:val="24"/>
          <w:szCs w:val="24"/>
        </w:rPr>
        <w:t xml:space="preserve">, </w:t>
      </w:r>
      <w:r w:rsidRPr="006254CA">
        <w:rPr>
          <w:sz w:val="24"/>
          <w:szCs w:val="24"/>
        </w:rPr>
        <w:t>what a pandemic is, what social distancing means, and perhaps how vaccine technology works</w:t>
      </w:r>
      <w:r w:rsidR="00B96FF6">
        <w:rPr>
          <w:sz w:val="24"/>
          <w:szCs w:val="24"/>
        </w:rPr>
        <w:t xml:space="preserve">. </w:t>
      </w:r>
      <w:r w:rsidR="00BF6CD9">
        <w:rPr>
          <w:sz w:val="24"/>
          <w:szCs w:val="24"/>
        </w:rPr>
        <w:t>This is critical, it shows how quickly the world can change and</w:t>
      </w:r>
      <w:r w:rsidR="00B96FF6">
        <w:rPr>
          <w:sz w:val="24"/>
          <w:szCs w:val="24"/>
        </w:rPr>
        <w:t xml:space="preserve"> how quickly the immediate knowledge the average person</w:t>
      </w:r>
      <w:r w:rsidR="00017BCC">
        <w:rPr>
          <w:sz w:val="24"/>
          <w:szCs w:val="24"/>
        </w:rPr>
        <w:t xml:space="preserve"> </w:t>
      </w:r>
      <w:r w:rsidR="00B96FF6">
        <w:rPr>
          <w:sz w:val="24"/>
          <w:szCs w:val="24"/>
        </w:rPr>
        <w:t xml:space="preserve">changes. As a result, the law must adapt to the </w:t>
      </w:r>
      <w:r w:rsidR="00017BCC">
        <w:rPr>
          <w:sz w:val="24"/>
          <w:szCs w:val="24"/>
        </w:rPr>
        <w:t>ever-changing</w:t>
      </w:r>
      <w:r w:rsidR="00B96FF6">
        <w:rPr>
          <w:sz w:val="24"/>
          <w:szCs w:val="24"/>
        </w:rPr>
        <w:t xml:space="preserve"> test person in areas of law</w:t>
      </w:r>
      <w:r w:rsidR="00017BCC">
        <w:rPr>
          <w:sz w:val="24"/>
          <w:szCs w:val="24"/>
        </w:rPr>
        <w:t xml:space="preserve">, especially in consumer protection law. </w:t>
      </w:r>
    </w:p>
    <w:p w14:paraId="4412172B" w14:textId="773821A2" w:rsidR="009916AB" w:rsidRPr="006254CA" w:rsidRDefault="00BF6CD9" w:rsidP="009916AB">
      <w:pPr>
        <w:rPr>
          <w:b/>
          <w:bCs/>
          <w:sz w:val="24"/>
          <w:szCs w:val="24"/>
          <w:u w:val="single"/>
        </w:rPr>
      </w:pPr>
      <w:r>
        <w:rPr>
          <w:b/>
          <w:bCs/>
          <w:sz w:val="24"/>
          <w:szCs w:val="24"/>
          <w:u w:val="single"/>
        </w:rPr>
        <w:t>Law cannot remain static</w:t>
      </w:r>
      <w:r w:rsidR="009916AB" w:rsidRPr="006254CA">
        <w:rPr>
          <w:b/>
          <w:bCs/>
          <w:sz w:val="24"/>
          <w:szCs w:val="24"/>
          <w:u w:val="single"/>
        </w:rPr>
        <w:t xml:space="preserve"> </w:t>
      </w:r>
    </w:p>
    <w:p w14:paraId="27BEA7A4" w14:textId="1D72530D" w:rsidR="00903A2D" w:rsidRPr="006254CA" w:rsidRDefault="00BF6CD9" w:rsidP="00DD2B47">
      <w:pPr>
        <w:ind w:firstLine="720"/>
        <w:rPr>
          <w:sz w:val="24"/>
          <w:szCs w:val="24"/>
        </w:rPr>
      </w:pPr>
      <w:r>
        <w:rPr>
          <w:sz w:val="24"/>
          <w:szCs w:val="24"/>
        </w:rPr>
        <w:t xml:space="preserve">The </w:t>
      </w:r>
      <w:r w:rsidR="00733012" w:rsidRPr="006254CA">
        <w:rPr>
          <w:sz w:val="24"/>
          <w:szCs w:val="24"/>
        </w:rPr>
        <w:t xml:space="preserve">law must adapt to account for quick changes in society. </w:t>
      </w:r>
      <w:r w:rsidR="00F560D1" w:rsidRPr="006254CA">
        <w:rPr>
          <w:sz w:val="24"/>
          <w:szCs w:val="24"/>
        </w:rPr>
        <w:t xml:space="preserve">In a seminal constitutional law case at a time where the highest court of Canada was still the Judicial Committee of the Privy Council, Lord Sankey stated that the BNA act, which is </w:t>
      </w:r>
      <w:r w:rsidR="00733012" w:rsidRPr="006254CA">
        <w:rPr>
          <w:sz w:val="24"/>
          <w:szCs w:val="24"/>
        </w:rPr>
        <w:t xml:space="preserve">know as </w:t>
      </w:r>
      <w:r w:rsidR="00513DDD" w:rsidRPr="006254CA">
        <w:rPr>
          <w:sz w:val="24"/>
          <w:szCs w:val="24"/>
        </w:rPr>
        <w:t>th</w:t>
      </w:r>
      <w:r w:rsidR="00733012" w:rsidRPr="006254CA">
        <w:rPr>
          <w:sz w:val="24"/>
          <w:szCs w:val="24"/>
        </w:rPr>
        <w:t>e</w:t>
      </w:r>
      <w:r w:rsidR="00F560D1" w:rsidRPr="006254CA">
        <w:rPr>
          <w:sz w:val="24"/>
          <w:szCs w:val="24"/>
        </w:rPr>
        <w:t xml:space="preserve"> Constitution Act </w:t>
      </w:r>
      <w:r w:rsidR="00733012" w:rsidRPr="006254CA">
        <w:rPr>
          <w:sz w:val="24"/>
          <w:szCs w:val="24"/>
        </w:rPr>
        <w:t xml:space="preserve">of </w:t>
      </w:r>
      <w:r w:rsidR="00F560D1" w:rsidRPr="006254CA">
        <w:rPr>
          <w:sz w:val="24"/>
          <w:szCs w:val="24"/>
        </w:rPr>
        <w:t xml:space="preserve">1867, planted in </w:t>
      </w:r>
      <w:r w:rsidR="00733012" w:rsidRPr="006254CA">
        <w:rPr>
          <w:sz w:val="24"/>
          <w:szCs w:val="24"/>
        </w:rPr>
        <w:t xml:space="preserve">Canada a </w:t>
      </w:r>
      <w:r w:rsidR="00F560D1" w:rsidRPr="006254CA">
        <w:rPr>
          <w:sz w:val="24"/>
          <w:szCs w:val="24"/>
        </w:rPr>
        <w:t>“living tree capable of growth and expansion within its natural limits”</w:t>
      </w:r>
      <w:r w:rsidR="000B4E89">
        <w:rPr>
          <w:sz w:val="24"/>
          <w:szCs w:val="24"/>
        </w:rPr>
        <w:t>.</w:t>
      </w:r>
      <w:r w:rsidR="00F560D1" w:rsidRPr="006254CA">
        <w:rPr>
          <w:rStyle w:val="FootnoteReference"/>
          <w:sz w:val="24"/>
          <w:szCs w:val="24"/>
        </w:rPr>
        <w:footnoteReference w:id="1"/>
      </w:r>
      <w:r w:rsidR="00F560D1" w:rsidRPr="006254CA">
        <w:rPr>
          <w:sz w:val="24"/>
          <w:szCs w:val="24"/>
        </w:rPr>
        <w:t xml:space="preserve"> </w:t>
      </w:r>
      <w:r w:rsidR="00733012" w:rsidRPr="006254CA">
        <w:rPr>
          <w:sz w:val="24"/>
          <w:szCs w:val="24"/>
        </w:rPr>
        <w:t xml:space="preserve">This statement, although made specifically regarding our constitution, </w:t>
      </w:r>
      <w:r w:rsidR="00F560D1" w:rsidRPr="006254CA">
        <w:rPr>
          <w:sz w:val="24"/>
          <w:szCs w:val="24"/>
        </w:rPr>
        <w:t xml:space="preserve">accounts for the inevitable fact that </w:t>
      </w:r>
      <w:r w:rsidR="00733012" w:rsidRPr="006254CA">
        <w:rPr>
          <w:sz w:val="24"/>
          <w:szCs w:val="24"/>
        </w:rPr>
        <w:t xml:space="preserve">the </w:t>
      </w:r>
      <w:r w:rsidR="00F560D1" w:rsidRPr="006254CA">
        <w:rPr>
          <w:sz w:val="24"/>
          <w:szCs w:val="24"/>
        </w:rPr>
        <w:t>law must be capable of growth</w:t>
      </w:r>
      <w:r w:rsidR="00733012" w:rsidRPr="006254CA">
        <w:rPr>
          <w:sz w:val="24"/>
          <w:szCs w:val="24"/>
        </w:rPr>
        <w:t xml:space="preserve"> and adaptation to fit the changing social landscape</w:t>
      </w:r>
      <w:r w:rsidR="00F560D1" w:rsidRPr="006254CA">
        <w:rPr>
          <w:sz w:val="24"/>
          <w:szCs w:val="24"/>
        </w:rPr>
        <w:t>. The constitution differs from other statutes in that it is much more difficult to amend,</w:t>
      </w:r>
      <w:r w:rsidR="00733012" w:rsidRPr="006254CA">
        <w:rPr>
          <w:sz w:val="24"/>
          <w:szCs w:val="24"/>
        </w:rPr>
        <w:t xml:space="preserve"> h</w:t>
      </w:r>
      <w:r w:rsidR="00F560D1" w:rsidRPr="006254CA">
        <w:rPr>
          <w:sz w:val="24"/>
          <w:szCs w:val="24"/>
        </w:rPr>
        <w:t xml:space="preserve">owever, </w:t>
      </w:r>
      <w:r w:rsidR="00733012" w:rsidRPr="006254CA">
        <w:rPr>
          <w:sz w:val="24"/>
          <w:szCs w:val="24"/>
        </w:rPr>
        <w:t>I argue that in areas where the law must adapt quickly, relying purely on amendments is not sufficient.</w:t>
      </w:r>
      <w:r w:rsidR="00D30FDE">
        <w:rPr>
          <w:sz w:val="24"/>
          <w:szCs w:val="24"/>
        </w:rPr>
        <w:t xml:space="preserve"> </w:t>
      </w:r>
      <w:r w:rsidR="00664ABD">
        <w:rPr>
          <w:sz w:val="24"/>
          <w:szCs w:val="24"/>
        </w:rPr>
        <w:t>Therefore, t</w:t>
      </w:r>
      <w:r w:rsidR="00D30FDE">
        <w:rPr>
          <w:sz w:val="24"/>
          <w:szCs w:val="24"/>
        </w:rPr>
        <w:t>hese areas where standards quickly change are better suited to the common law</w:t>
      </w:r>
      <w:r w:rsidR="00664ABD">
        <w:rPr>
          <w:sz w:val="24"/>
          <w:szCs w:val="24"/>
        </w:rPr>
        <w:t>, to allow for flexibility and changes where judges see fit</w:t>
      </w:r>
      <w:r w:rsidR="00D30FDE">
        <w:rPr>
          <w:sz w:val="24"/>
          <w:szCs w:val="24"/>
        </w:rPr>
        <w:t xml:space="preserve">. </w:t>
      </w:r>
    </w:p>
    <w:p w14:paraId="6FBE2C92" w14:textId="7094F91D" w:rsidR="003E0D0F" w:rsidRPr="006254CA" w:rsidRDefault="003E0D0F" w:rsidP="003E0D0F">
      <w:pPr>
        <w:rPr>
          <w:b/>
          <w:bCs/>
          <w:sz w:val="24"/>
          <w:szCs w:val="24"/>
          <w:u w:val="single"/>
        </w:rPr>
      </w:pPr>
      <w:r w:rsidRPr="006254CA">
        <w:rPr>
          <w:b/>
          <w:bCs/>
          <w:sz w:val="24"/>
          <w:szCs w:val="24"/>
          <w:u w:val="single"/>
        </w:rPr>
        <w:t>“The casual consumer test” a living tree meant to adapt to technological change</w:t>
      </w:r>
    </w:p>
    <w:p w14:paraId="5231EDAC" w14:textId="0276CA58" w:rsidR="007A5357" w:rsidRPr="006254CA" w:rsidRDefault="007A5357" w:rsidP="00286EC0">
      <w:pPr>
        <w:ind w:firstLine="720"/>
        <w:rPr>
          <w:sz w:val="24"/>
          <w:szCs w:val="24"/>
        </w:rPr>
      </w:pPr>
      <w:r w:rsidRPr="006254CA">
        <w:rPr>
          <w:sz w:val="24"/>
          <w:szCs w:val="24"/>
        </w:rPr>
        <w:t xml:space="preserve">The Trademarks Act </w:t>
      </w:r>
      <w:r w:rsidR="007B7E8C" w:rsidRPr="006254CA">
        <w:rPr>
          <w:sz w:val="24"/>
          <w:szCs w:val="24"/>
        </w:rPr>
        <w:t>[</w:t>
      </w:r>
      <w:r w:rsidR="007B7E8C" w:rsidRPr="006254CA">
        <w:rPr>
          <w:i/>
          <w:iCs/>
          <w:sz w:val="24"/>
          <w:szCs w:val="24"/>
        </w:rPr>
        <w:t>The Act</w:t>
      </w:r>
      <w:r w:rsidR="007B7E8C" w:rsidRPr="006254CA">
        <w:rPr>
          <w:sz w:val="24"/>
          <w:szCs w:val="24"/>
        </w:rPr>
        <w:t>]</w:t>
      </w:r>
      <w:r w:rsidR="007B7E8C" w:rsidRPr="006254CA">
        <w:rPr>
          <w:rStyle w:val="FootnoteReference"/>
          <w:sz w:val="24"/>
          <w:szCs w:val="24"/>
        </w:rPr>
        <w:footnoteReference w:id="2"/>
      </w:r>
      <w:r w:rsidRPr="006254CA">
        <w:rPr>
          <w:sz w:val="24"/>
          <w:szCs w:val="24"/>
        </w:rPr>
        <w:t xml:space="preserve"> </w:t>
      </w:r>
      <w:r w:rsidR="00286EC0" w:rsidRPr="006254CA">
        <w:rPr>
          <w:sz w:val="24"/>
          <w:szCs w:val="24"/>
        </w:rPr>
        <w:t>is arguably consumer protection legislation</w:t>
      </w:r>
      <w:r w:rsidR="00286EC0" w:rsidRPr="006254CA">
        <w:rPr>
          <w:rStyle w:val="FootnoteReference"/>
          <w:sz w:val="24"/>
          <w:szCs w:val="24"/>
        </w:rPr>
        <w:footnoteReference w:id="3"/>
      </w:r>
      <w:r w:rsidR="00286EC0" w:rsidRPr="006254CA">
        <w:rPr>
          <w:sz w:val="24"/>
          <w:szCs w:val="24"/>
        </w:rPr>
        <w:t xml:space="preserve"> which </w:t>
      </w:r>
      <w:r w:rsidRPr="006254CA">
        <w:rPr>
          <w:sz w:val="24"/>
          <w:szCs w:val="24"/>
        </w:rPr>
        <w:t>provides that a trademark is registrable if it is not, amongst other disqualifying reasons, confusing with a registered trademark</w:t>
      </w:r>
      <w:r w:rsidR="000B4E89">
        <w:rPr>
          <w:sz w:val="24"/>
          <w:szCs w:val="24"/>
        </w:rPr>
        <w:t>.</w:t>
      </w:r>
      <w:r w:rsidR="007B7E8C" w:rsidRPr="006254CA">
        <w:rPr>
          <w:rStyle w:val="FootnoteReference"/>
          <w:sz w:val="24"/>
          <w:szCs w:val="24"/>
        </w:rPr>
        <w:footnoteReference w:id="4"/>
      </w:r>
      <w:r w:rsidR="00286EC0" w:rsidRPr="006254CA">
        <w:rPr>
          <w:sz w:val="24"/>
          <w:szCs w:val="24"/>
        </w:rPr>
        <w:t xml:space="preserve"> </w:t>
      </w:r>
      <w:r w:rsidRPr="00017BCC">
        <w:rPr>
          <w:i/>
          <w:iCs/>
          <w:sz w:val="24"/>
          <w:szCs w:val="24"/>
        </w:rPr>
        <w:t xml:space="preserve">The </w:t>
      </w:r>
      <w:r w:rsidR="00B121D9" w:rsidRPr="00017BCC">
        <w:rPr>
          <w:i/>
          <w:iCs/>
          <w:sz w:val="24"/>
          <w:szCs w:val="24"/>
        </w:rPr>
        <w:t>Ac</w:t>
      </w:r>
      <w:r w:rsidR="00286EC0" w:rsidRPr="00017BCC">
        <w:rPr>
          <w:i/>
          <w:iCs/>
          <w:sz w:val="24"/>
          <w:szCs w:val="24"/>
        </w:rPr>
        <w:t>t</w:t>
      </w:r>
      <w:r w:rsidR="00286EC0" w:rsidRPr="006254CA">
        <w:rPr>
          <w:sz w:val="24"/>
          <w:szCs w:val="24"/>
        </w:rPr>
        <w:t xml:space="preserve"> states</w:t>
      </w:r>
      <w:r w:rsidRPr="006254CA">
        <w:rPr>
          <w:sz w:val="24"/>
          <w:szCs w:val="24"/>
        </w:rPr>
        <w:t xml:space="preserve"> </w:t>
      </w:r>
      <w:r w:rsidR="007B7E8C" w:rsidRPr="006254CA">
        <w:rPr>
          <w:sz w:val="24"/>
          <w:szCs w:val="24"/>
        </w:rPr>
        <w:t xml:space="preserve">that </w:t>
      </w:r>
      <w:r w:rsidRPr="006254CA">
        <w:rPr>
          <w:sz w:val="24"/>
          <w:szCs w:val="24"/>
        </w:rPr>
        <w:t xml:space="preserve">use of a trademark can cause confusion with another if their mutual use in the same area would lead consumers to infer the </w:t>
      </w:r>
      <w:r w:rsidRPr="006254CA">
        <w:rPr>
          <w:sz w:val="24"/>
          <w:szCs w:val="24"/>
        </w:rPr>
        <w:lastRenderedPageBreak/>
        <w:t>goods are associated with the same source</w:t>
      </w:r>
      <w:r w:rsidR="000B4E89">
        <w:rPr>
          <w:sz w:val="24"/>
          <w:szCs w:val="24"/>
        </w:rPr>
        <w:t>.</w:t>
      </w:r>
      <w:r w:rsidR="007B7E8C" w:rsidRPr="006254CA">
        <w:rPr>
          <w:rStyle w:val="FootnoteReference"/>
          <w:sz w:val="24"/>
          <w:szCs w:val="24"/>
        </w:rPr>
        <w:footnoteReference w:id="5"/>
      </w:r>
      <w:r w:rsidRPr="006254CA">
        <w:rPr>
          <w:sz w:val="24"/>
          <w:szCs w:val="24"/>
        </w:rPr>
        <w:t xml:space="preserve"> </w:t>
      </w:r>
      <w:r w:rsidR="00286EC0" w:rsidRPr="006254CA">
        <w:rPr>
          <w:sz w:val="24"/>
          <w:szCs w:val="24"/>
        </w:rPr>
        <w:t xml:space="preserve">The act suggest one must </w:t>
      </w:r>
      <w:r w:rsidRPr="006254CA">
        <w:rPr>
          <w:sz w:val="24"/>
          <w:szCs w:val="24"/>
        </w:rPr>
        <w:t>consider “all the surrounding circumstances” to make a determination regarding confusion</w:t>
      </w:r>
      <w:r w:rsidR="000B4E89">
        <w:rPr>
          <w:sz w:val="24"/>
          <w:szCs w:val="24"/>
        </w:rPr>
        <w:t>.</w:t>
      </w:r>
      <w:r w:rsidR="007B7E8C" w:rsidRPr="006254CA">
        <w:rPr>
          <w:rStyle w:val="FootnoteReference"/>
          <w:sz w:val="24"/>
          <w:szCs w:val="24"/>
        </w:rPr>
        <w:footnoteReference w:id="6"/>
      </w:r>
      <w:r w:rsidR="000A2260">
        <w:rPr>
          <w:sz w:val="24"/>
          <w:szCs w:val="24"/>
        </w:rPr>
        <w:t xml:space="preserve"> A question remain</w:t>
      </w:r>
      <w:r w:rsidR="00017BCC">
        <w:rPr>
          <w:sz w:val="24"/>
          <w:szCs w:val="24"/>
        </w:rPr>
        <w:t>s</w:t>
      </w:r>
      <w:r w:rsidR="000A2260">
        <w:rPr>
          <w:sz w:val="24"/>
          <w:szCs w:val="24"/>
        </w:rPr>
        <w:t xml:space="preserve"> which the statute doesn’t provide for, who is the test person to determine confusion?</w:t>
      </w:r>
    </w:p>
    <w:p w14:paraId="1BFAA31D" w14:textId="223D37CF" w:rsidR="00060F41" w:rsidRPr="006254CA" w:rsidRDefault="007A5357" w:rsidP="007B7E8C">
      <w:pPr>
        <w:ind w:firstLine="720"/>
        <w:rPr>
          <w:sz w:val="24"/>
          <w:szCs w:val="24"/>
        </w:rPr>
      </w:pPr>
      <w:r w:rsidRPr="006254CA">
        <w:rPr>
          <w:sz w:val="24"/>
          <w:szCs w:val="24"/>
        </w:rPr>
        <w:t xml:space="preserve">Attempting to define “confusion” is a lofty goal. What can cause confusion varies from individual to individual, and from time period to time period.  </w:t>
      </w:r>
      <w:r w:rsidR="00060F41" w:rsidRPr="006254CA">
        <w:rPr>
          <w:sz w:val="24"/>
          <w:szCs w:val="24"/>
        </w:rPr>
        <w:t xml:space="preserve">Binnie J articulated </w:t>
      </w:r>
      <w:r w:rsidR="007B7E8C" w:rsidRPr="006254CA">
        <w:rPr>
          <w:sz w:val="24"/>
          <w:szCs w:val="24"/>
        </w:rPr>
        <w:t>a common law</w:t>
      </w:r>
      <w:r w:rsidR="00060F41" w:rsidRPr="006254CA">
        <w:rPr>
          <w:sz w:val="24"/>
          <w:szCs w:val="24"/>
        </w:rPr>
        <w:t xml:space="preserve"> test</w:t>
      </w:r>
      <w:r w:rsidR="00286EC0" w:rsidRPr="006254CA">
        <w:rPr>
          <w:sz w:val="24"/>
          <w:szCs w:val="24"/>
        </w:rPr>
        <w:t xml:space="preserve"> which provides the test person and scenario to asses confusion </w:t>
      </w:r>
      <w:r w:rsidR="00060F41" w:rsidRPr="006254CA">
        <w:rPr>
          <w:sz w:val="24"/>
          <w:szCs w:val="24"/>
        </w:rPr>
        <w:t>in</w:t>
      </w:r>
      <w:r w:rsidR="00BC2F7D">
        <w:rPr>
          <w:sz w:val="24"/>
          <w:szCs w:val="24"/>
        </w:rPr>
        <w:t xml:space="preserve"> Mattel, Inc v. 3894207 Canada Inc</w:t>
      </w:r>
      <w:r w:rsidR="00BC2F7D">
        <w:rPr>
          <w:rStyle w:val="FootnoteReference"/>
          <w:sz w:val="24"/>
          <w:szCs w:val="24"/>
        </w:rPr>
        <w:footnoteReference w:id="7"/>
      </w:r>
      <w:r w:rsidR="00BC2F7D">
        <w:rPr>
          <w:sz w:val="24"/>
          <w:szCs w:val="24"/>
        </w:rPr>
        <w:t>, recently articulated in</w:t>
      </w:r>
      <w:r w:rsidR="00060F41" w:rsidRPr="006254CA">
        <w:rPr>
          <w:sz w:val="24"/>
          <w:szCs w:val="24"/>
        </w:rPr>
        <w:t xml:space="preserve"> </w:t>
      </w:r>
      <w:r w:rsidR="00060F41" w:rsidRPr="006254CA">
        <w:rPr>
          <w:i/>
          <w:iCs/>
          <w:sz w:val="24"/>
          <w:szCs w:val="24"/>
        </w:rPr>
        <w:t>Veuve Clicquot Ponsardin v. Boutiques Cliquot Ltee</w:t>
      </w:r>
      <w:r w:rsidR="00060F41" w:rsidRPr="006254CA">
        <w:rPr>
          <w:sz w:val="24"/>
          <w:szCs w:val="24"/>
        </w:rPr>
        <w:t>. [</w:t>
      </w:r>
      <w:r w:rsidR="00060F41" w:rsidRPr="006254CA">
        <w:rPr>
          <w:i/>
          <w:iCs/>
          <w:sz w:val="24"/>
          <w:szCs w:val="24"/>
        </w:rPr>
        <w:t>Veuve Clicquot</w:t>
      </w:r>
      <w:r w:rsidR="00060F41" w:rsidRPr="006254CA">
        <w:rPr>
          <w:sz w:val="24"/>
          <w:szCs w:val="24"/>
        </w:rPr>
        <w:t>]</w:t>
      </w:r>
      <w:r w:rsidR="007B7E8C" w:rsidRPr="006254CA">
        <w:rPr>
          <w:rStyle w:val="FootnoteReference"/>
          <w:sz w:val="24"/>
          <w:szCs w:val="24"/>
        </w:rPr>
        <w:footnoteReference w:id="8"/>
      </w:r>
      <w:r w:rsidR="00060F41" w:rsidRPr="006254CA">
        <w:rPr>
          <w:sz w:val="24"/>
          <w:szCs w:val="24"/>
        </w:rPr>
        <w:t xml:space="preserve"> </w:t>
      </w:r>
      <w:r w:rsidR="00286EC0" w:rsidRPr="006254CA">
        <w:rPr>
          <w:sz w:val="24"/>
          <w:szCs w:val="24"/>
        </w:rPr>
        <w:t xml:space="preserve"> </w:t>
      </w:r>
      <w:r w:rsidR="00BC2F7D">
        <w:rPr>
          <w:sz w:val="24"/>
          <w:szCs w:val="24"/>
        </w:rPr>
        <w:t>as</w:t>
      </w:r>
    </w:p>
    <w:p w14:paraId="6E241EC4" w14:textId="3E6D8376" w:rsidR="007A5357" w:rsidRPr="006254CA" w:rsidRDefault="00060F41" w:rsidP="00DD2B47">
      <w:pPr>
        <w:ind w:left="720" w:firstLine="720"/>
        <w:rPr>
          <w:sz w:val="24"/>
          <w:szCs w:val="24"/>
        </w:rPr>
      </w:pPr>
      <w:r w:rsidRPr="006254CA">
        <w:rPr>
          <w:sz w:val="24"/>
          <w:szCs w:val="24"/>
        </w:rPr>
        <w:t>“</w:t>
      </w:r>
      <w:r w:rsidRPr="006254CA">
        <w:rPr>
          <w:i/>
          <w:iCs/>
          <w:sz w:val="24"/>
          <w:szCs w:val="24"/>
        </w:rPr>
        <w:t xml:space="preserve">The test to be applied is a matter of </w:t>
      </w:r>
      <w:r w:rsidRPr="006254CA">
        <w:rPr>
          <w:b/>
          <w:bCs/>
          <w:i/>
          <w:iCs/>
          <w:sz w:val="24"/>
          <w:szCs w:val="24"/>
        </w:rPr>
        <w:t>first impression</w:t>
      </w:r>
      <w:r w:rsidRPr="006254CA">
        <w:rPr>
          <w:i/>
          <w:iCs/>
          <w:sz w:val="24"/>
          <w:szCs w:val="24"/>
        </w:rPr>
        <w:t xml:space="preserve"> in the mind of a </w:t>
      </w:r>
      <w:r w:rsidRPr="006254CA">
        <w:rPr>
          <w:b/>
          <w:bCs/>
          <w:i/>
          <w:iCs/>
          <w:sz w:val="24"/>
          <w:szCs w:val="24"/>
        </w:rPr>
        <w:t>casual consumer</w:t>
      </w:r>
      <w:r w:rsidRPr="006254CA">
        <w:rPr>
          <w:i/>
          <w:iCs/>
          <w:sz w:val="24"/>
          <w:szCs w:val="24"/>
        </w:rPr>
        <w:t xml:space="preserve"> somewhat in a hurry who sees the mark at a time when he or she has no more than an imperfect recollection of the prior trade-marks, and </w:t>
      </w:r>
      <w:r w:rsidRPr="006254CA">
        <w:rPr>
          <w:b/>
          <w:bCs/>
          <w:i/>
          <w:iCs/>
          <w:sz w:val="24"/>
          <w:szCs w:val="24"/>
        </w:rPr>
        <w:t>does not pause to give the matter any detailed consideration or scrutiny</w:t>
      </w:r>
      <w:r w:rsidRPr="006254CA">
        <w:rPr>
          <w:i/>
          <w:iCs/>
          <w:sz w:val="24"/>
          <w:szCs w:val="24"/>
        </w:rPr>
        <w:t>, nor to examine closely the similarities between the marks</w:t>
      </w:r>
      <w:r w:rsidRPr="006254CA">
        <w:rPr>
          <w:sz w:val="24"/>
          <w:szCs w:val="24"/>
        </w:rPr>
        <w:t>”</w:t>
      </w:r>
      <w:r w:rsidR="000B4E89">
        <w:rPr>
          <w:sz w:val="24"/>
          <w:szCs w:val="24"/>
        </w:rPr>
        <w:t>.</w:t>
      </w:r>
      <w:r w:rsidR="007B7E8C" w:rsidRPr="006254CA">
        <w:rPr>
          <w:rStyle w:val="FootnoteReference"/>
          <w:sz w:val="24"/>
          <w:szCs w:val="24"/>
        </w:rPr>
        <w:footnoteReference w:id="9"/>
      </w:r>
    </w:p>
    <w:p w14:paraId="47FFCB0E" w14:textId="2192CFA1" w:rsidR="00060F41" w:rsidRPr="006254CA" w:rsidRDefault="00064A3F" w:rsidP="00DD2B47">
      <w:pPr>
        <w:rPr>
          <w:sz w:val="24"/>
          <w:szCs w:val="24"/>
        </w:rPr>
      </w:pPr>
      <w:r>
        <w:rPr>
          <w:sz w:val="24"/>
          <w:szCs w:val="24"/>
        </w:rPr>
        <w:t xml:space="preserve">I argue that the “casual consumer” is a, albeit to a lesser degree than our constitution, a “living tree” of sorts. </w:t>
      </w:r>
      <w:r w:rsidR="00286EC0" w:rsidRPr="006254CA">
        <w:rPr>
          <w:sz w:val="24"/>
          <w:szCs w:val="24"/>
        </w:rPr>
        <w:t xml:space="preserve">The emphasized parts </w:t>
      </w:r>
      <w:r>
        <w:rPr>
          <w:sz w:val="24"/>
          <w:szCs w:val="24"/>
        </w:rPr>
        <w:t xml:space="preserve">above </w:t>
      </w:r>
      <w:r w:rsidR="00286EC0" w:rsidRPr="006254CA">
        <w:rPr>
          <w:sz w:val="24"/>
          <w:szCs w:val="24"/>
        </w:rPr>
        <w:t>[emphasis added]</w:t>
      </w:r>
      <w:r w:rsidR="00F71731" w:rsidRPr="006254CA">
        <w:rPr>
          <w:sz w:val="24"/>
          <w:szCs w:val="24"/>
        </w:rPr>
        <w:t xml:space="preserve"> </w:t>
      </w:r>
      <w:r w:rsidR="00286EC0" w:rsidRPr="006254CA">
        <w:rPr>
          <w:sz w:val="24"/>
          <w:szCs w:val="24"/>
        </w:rPr>
        <w:t xml:space="preserve">suggest that the test person is one who quickly glances at the item, and uses the knowledge immediately available to them to determine the source. The knowledge one </w:t>
      </w:r>
      <w:r w:rsidR="000338D7">
        <w:rPr>
          <w:sz w:val="24"/>
          <w:szCs w:val="24"/>
        </w:rPr>
        <w:t>h</w:t>
      </w:r>
      <w:r w:rsidR="00286EC0" w:rsidRPr="006254CA">
        <w:rPr>
          <w:sz w:val="24"/>
          <w:szCs w:val="24"/>
        </w:rPr>
        <w:t xml:space="preserve">as on hand in such a “hurry” </w:t>
      </w:r>
      <w:r w:rsidR="00B121D9" w:rsidRPr="006254CA">
        <w:rPr>
          <w:sz w:val="24"/>
          <w:szCs w:val="24"/>
        </w:rPr>
        <w:t xml:space="preserve">changes based on the societal landscape at the time. </w:t>
      </w:r>
      <w:r w:rsidR="00F71731" w:rsidRPr="006254CA">
        <w:rPr>
          <w:sz w:val="24"/>
          <w:szCs w:val="24"/>
        </w:rPr>
        <w:t xml:space="preserve">This </w:t>
      </w:r>
      <w:r w:rsidR="000338D7">
        <w:rPr>
          <w:sz w:val="24"/>
          <w:szCs w:val="24"/>
        </w:rPr>
        <w:t>test accounts for the changing in immediate knowledge, if the standard was one</w:t>
      </w:r>
      <w:r>
        <w:rPr>
          <w:sz w:val="24"/>
          <w:szCs w:val="24"/>
        </w:rPr>
        <w:t xml:space="preserve"> of detailed scrutiny </w:t>
      </w:r>
      <w:r w:rsidR="000338D7">
        <w:rPr>
          <w:sz w:val="24"/>
          <w:szCs w:val="24"/>
        </w:rPr>
        <w:t>– the standard would remain more static and therefore would not account as well for societal changes.</w:t>
      </w:r>
      <w:r>
        <w:rPr>
          <w:sz w:val="24"/>
          <w:szCs w:val="24"/>
        </w:rPr>
        <w:t xml:space="preserve"> A standard based on scrutiny would not account for the fact that before a person will even scrutinize, there must be something to suggest this is necessary. What suggests the need to inquire is likely a matter of first impression</w:t>
      </w:r>
      <w:r w:rsidR="00F368A9">
        <w:rPr>
          <w:sz w:val="24"/>
          <w:szCs w:val="24"/>
        </w:rPr>
        <w:t xml:space="preserve">, </w:t>
      </w:r>
      <w:r>
        <w:rPr>
          <w:sz w:val="24"/>
          <w:szCs w:val="24"/>
        </w:rPr>
        <w:t xml:space="preserve">which as stated above, will change rapidly.   </w:t>
      </w:r>
    </w:p>
    <w:p w14:paraId="0A1EB86E" w14:textId="1EFBAEAF" w:rsidR="0016205A" w:rsidRDefault="000338D7" w:rsidP="008D1A18">
      <w:pPr>
        <w:ind w:firstLine="720"/>
        <w:rPr>
          <w:sz w:val="24"/>
          <w:szCs w:val="24"/>
        </w:rPr>
      </w:pPr>
      <w:r>
        <w:rPr>
          <w:sz w:val="24"/>
          <w:szCs w:val="24"/>
        </w:rPr>
        <w:t xml:space="preserve">Case law illustrates changes to what a “casual consumer” has in their immediate knowledge. </w:t>
      </w:r>
      <w:r w:rsidR="00BF03E7">
        <w:rPr>
          <w:sz w:val="24"/>
          <w:szCs w:val="24"/>
        </w:rPr>
        <w:t xml:space="preserve">For example, as society became more adept and used to surfing the internet, what could confuse the casual consumer has changed. </w:t>
      </w:r>
      <w:r w:rsidR="00060F41" w:rsidRPr="006254CA">
        <w:rPr>
          <w:sz w:val="24"/>
          <w:szCs w:val="24"/>
        </w:rPr>
        <w:t>We see this in two cases,</w:t>
      </w:r>
      <w:r w:rsidR="007B7E8C" w:rsidRPr="006254CA">
        <w:rPr>
          <w:sz w:val="24"/>
          <w:szCs w:val="24"/>
        </w:rPr>
        <w:t xml:space="preserve"> </w:t>
      </w:r>
      <w:r w:rsidR="002A08AB" w:rsidRPr="006254CA">
        <w:rPr>
          <w:sz w:val="24"/>
          <w:szCs w:val="24"/>
        </w:rPr>
        <w:t xml:space="preserve">In 2001, in </w:t>
      </w:r>
      <w:r w:rsidR="002A08AB" w:rsidRPr="006254CA">
        <w:rPr>
          <w:i/>
          <w:iCs/>
          <w:sz w:val="24"/>
          <w:szCs w:val="24"/>
        </w:rPr>
        <w:t>BCAA et al v office and Professional Employee’s Int Union et al 2001 BCSC 165</w:t>
      </w:r>
      <w:r w:rsidR="002A08AB" w:rsidRPr="006254CA">
        <w:rPr>
          <w:sz w:val="24"/>
          <w:szCs w:val="24"/>
        </w:rPr>
        <w:t>, the court</w:t>
      </w:r>
      <w:r w:rsidR="00BC2F7D">
        <w:rPr>
          <w:sz w:val="24"/>
          <w:szCs w:val="24"/>
        </w:rPr>
        <w:t xml:space="preserve"> </w:t>
      </w:r>
      <w:r w:rsidR="00AB6EE8">
        <w:rPr>
          <w:sz w:val="24"/>
          <w:szCs w:val="24"/>
        </w:rPr>
        <w:t>suggest</w:t>
      </w:r>
      <w:r w:rsidR="00BC2F7D">
        <w:rPr>
          <w:sz w:val="24"/>
          <w:szCs w:val="24"/>
        </w:rPr>
        <w:t xml:space="preserve"> that there would be confusion [albeit in the passing off context] to a causal consumer because of factors such as the similar domain names and meta tags</w:t>
      </w:r>
      <w:r w:rsidR="002A08AB" w:rsidRPr="006254CA">
        <w:rPr>
          <w:sz w:val="24"/>
          <w:szCs w:val="24"/>
        </w:rPr>
        <w:t xml:space="preserve"> </w:t>
      </w:r>
      <w:r w:rsidR="00AB6EE8">
        <w:rPr>
          <w:sz w:val="24"/>
          <w:szCs w:val="24"/>
        </w:rPr>
        <w:t xml:space="preserve">between BCCA website and the BCCA worker unions website, but a deeper examination of the </w:t>
      </w:r>
      <w:r w:rsidR="002A08AB" w:rsidRPr="00AB6EE8">
        <w:rPr>
          <w:sz w:val="24"/>
          <w:szCs w:val="24"/>
        </w:rPr>
        <w:t xml:space="preserve">actual website </w:t>
      </w:r>
      <w:r w:rsidR="00AB6EE8">
        <w:rPr>
          <w:sz w:val="24"/>
          <w:szCs w:val="24"/>
        </w:rPr>
        <w:t xml:space="preserve">would </w:t>
      </w:r>
      <w:r w:rsidR="002A08AB" w:rsidRPr="00AB6EE8">
        <w:rPr>
          <w:sz w:val="24"/>
          <w:szCs w:val="24"/>
        </w:rPr>
        <w:t>make it clear that it is not BCCA sanctioned or affiliated</w:t>
      </w:r>
      <w:r w:rsidR="000B4E89">
        <w:rPr>
          <w:sz w:val="24"/>
          <w:szCs w:val="24"/>
        </w:rPr>
        <w:t>.</w:t>
      </w:r>
      <w:r w:rsidR="00BC2F7D" w:rsidRPr="00AB6EE8">
        <w:rPr>
          <w:rStyle w:val="FootnoteReference"/>
          <w:sz w:val="24"/>
          <w:szCs w:val="24"/>
        </w:rPr>
        <w:footnoteReference w:id="10"/>
      </w:r>
      <w:r w:rsidR="00BF03E7">
        <w:rPr>
          <w:sz w:val="24"/>
          <w:szCs w:val="24"/>
        </w:rPr>
        <w:t xml:space="preserve"> </w:t>
      </w:r>
      <w:r w:rsidR="000E55AC" w:rsidRPr="006254CA">
        <w:rPr>
          <w:sz w:val="24"/>
          <w:szCs w:val="24"/>
        </w:rPr>
        <w:t xml:space="preserve"> I</w:t>
      </w:r>
      <w:r w:rsidR="002A08AB" w:rsidRPr="006254CA">
        <w:rPr>
          <w:sz w:val="24"/>
          <w:szCs w:val="24"/>
        </w:rPr>
        <w:t xml:space="preserve">n 2014, a similar issue arose in </w:t>
      </w:r>
      <w:r w:rsidR="002A08AB" w:rsidRPr="006254CA">
        <w:rPr>
          <w:i/>
          <w:iCs/>
          <w:sz w:val="24"/>
          <w:szCs w:val="24"/>
        </w:rPr>
        <w:t xml:space="preserve">Insurance </w:t>
      </w:r>
      <w:r w:rsidR="002A08AB" w:rsidRPr="006254CA">
        <w:rPr>
          <w:i/>
          <w:iCs/>
          <w:sz w:val="24"/>
          <w:szCs w:val="24"/>
        </w:rPr>
        <w:lastRenderedPageBreak/>
        <w:t xml:space="preserve">Corporation of British Columbia v. Stainton Ventures Ltd 2014 BCCA 296 </w:t>
      </w:r>
      <w:r w:rsidR="002A08AB" w:rsidRPr="006254CA">
        <w:rPr>
          <w:sz w:val="24"/>
          <w:szCs w:val="24"/>
        </w:rPr>
        <w:t xml:space="preserve">[ICBC]. In this case, </w:t>
      </w:r>
      <w:r w:rsidR="005E3E68" w:rsidRPr="006254CA">
        <w:rPr>
          <w:sz w:val="24"/>
          <w:szCs w:val="24"/>
        </w:rPr>
        <w:t xml:space="preserve">the court states </w:t>
      </w:r>
    </w:p>
    <w:p w14:paraId="32829B88" w14:textId="3BF03262" w:rsidR="0016205A" w:rsidRDefault="005E3E68" w:rsidP="0016205A">
      <w:pPr>
        <w:ind w:left="720" w:firstLine="720"/>
        <w:rPr>
          <w:sz w:val="24"/>
          <w:szCs w:val="24"/>
        </w:rPr>
      </w:pPr>
      <w:r w:rsidRPr="006254CA">
        <w:rPr>
          <w:sz w:val="24"/>
          <w:szCs w:val="24"/>
        </w:rPr>
        <w:t>“</w:t>
      </w:r>
      <w:r w:rsidRPr="0016205A">
        <w:rPr>
          <w:i/>
          <w:iCs/>
          <w:sz w:val="24"/>
          <w:szCs w:val="24"/>
        </w:rPr>
        <w:t xml:space="preserve">I am unable to accept the </w:t>
      </w:r>
      <w:r w:rsidR="007B7E8C" w:rsidRPr="0016205A">
        <w:rPr>
          <w:i/>
          <w:iCs/>
          <w:sz w:val="24"/>
          <w:szCs w:val="24"/>
        </w:rPr>
        <w:t>average</w:t>
      </w:r>
      <w:r w:rsidRPr="0016205A">
        <w:rPr>
          <w:i/>
          <w:iCs/>
          <w:sz w:val="24"/>
          <w:szCs w:val="24"/>
        </w:rPr>
        <w:t xml:space="preserve"> internet user does not appreciate that domain names …. are often merely descriptive of the subject matter of the website to which the domain name revolves, rather than indicating affiliation, source or endorsement</w:t>
      </w:r>
      <w:r w:rsidRPr="006254CA">
        <w:rPr>
          <w:sz w:val="24"/>
          <w:szCs w:val="24"/>
        </w:rPr>
        <w:t>”</w:t>
      </w:r>
      <w:r w:rsidR="000B4E89">
        <w:rPr>
          <w:sz w:val="24"/>
          <w:szCs w:val="24"/>
        </w:rPr>
        <w:t>.</w:t>
      </w:r>
      <w:r w:rsidR="007B7E8C" w:rsidRPr="006254CA">
        <w:rPr>
          <w:rStyle w:val="FootnoteReference"/>
          <w:sz w:val="24"/>
          <w:szCs w:val="24"/>
        </w:rPr>
        <w:footnoteReference w:id="11"/>
      </w:r>
      <w:r w:rsidR="008D1A18" w:rsidRPr="006254CA">
        <w:rPr>
          <w:sz w:val="24"/>
          <w:szCs w:val="24"/>
        </w:rPr>
        <w:t xml:space="preserve"> </w:t>
      </w:r>
    </w:p>
    <w:p w14:paraId="369D399E" w14:textId="0F1D0909" w:rsidR="009916AB" w:rsidRPr="006254CA" w:rsidRDefault="005E3E68" w:rsidP="001D681E">
      <w:pPr>
        <w:ind w:firstLine="720"/>
        <w:rPr>
          <w:sz w:val="24"/>
          <w:szCs w:val="24"/>
        </w:rPr>
      </w:pPr>
      <w:r w:rsidRPr="006254CA">
        <w:rPr>
          <w:sz w:val="24"/>
          <w:szCs w:val="24"/>
        </w:rPr>
        <w:t xml:space="preserve">These cases </w:t>
      </w:r>
      <w:r w:rsidR="008D1A18" w:rsidRPr="006254CA">
        <w:rPr>
          <w:sz w:val="24"/>
          <w:szCs w:val="24"/>
        </w:rPr>
        <w:t xml:space="preserve">suggest that </w:t>
      </w:r>
      <w:r w:rsidRPr="006254CA">
        <w:rPr>
          <w:sz w:val="24"/>
          <w:szCs w:val="24"/>
        </w:rPr>
        <w:t xml:space="preserve">in 2001 the “casual consumer” would </w:t>
      </w:r>
      <w:r w:rsidR="008D1A18" w:rsidRPr="006254CA">
        <w:rPr>
          <w:sz w:val="24"/>
          <w:szCs w:val="24"/>
        </w:rPr>
        <w:t>presume a domain name</w:t>
      </w:r>
      <w:r w:rsidR="00AB6EE8">
        <w:rPr>
          <w:sz w:val="24"/>
          <w:szCs w:val="24"/>
        </w:rPr>
        <w:t xml:space="preserve"> and similar meta tags found on a website</w:t>
      </w:r>
      <w:r w:rsidR="008D1A18" w:rsidRPr="006254CA">
        <w:rPr>
          <w:sz w:val="24"/>
          <w:szCs w:val="24"/>
        </w:rPr>
        <w:t xml:space="preserve"> indicated affiliation</w:t>
      </w:r>
      <w:r w:rsidR="00AB6EE8">
        <w:rPr>
          <w:sz w:val="24"/>
          <w:szCs w:val="24"/>
        </w:rPr>
        <w:t xml:space="preserve"> and therefore a casual consumer would be confused by these at first impression</w:t>
      </w:r>
      <w:r w:rsidR="008D1A18" w:rsidRPr="006254CA">
        <w:rPr>
          <w:sz w:val="24"/>
          <w:szCs w:val="24"/>
        </w:rPr>
        <w:t>. W</w:t>
      </w:r>
      <w:r w:rsidRPr="006254CA">
        <w:rPr>
          <w:sz w:val="24"/>
          <w:szCs w:val="24"/>
        </w:rPr>
        <w:t>hereas in 2014, a</w:t>
      </w:r>
      <w:r w:rsidR="00C13760" w:rsidRPr="006254CA">
        <w:rPr>
          <w:sz w:val="24"/>
          <w:szCs w:val="24"/>
        </w:rPr>
        <w:t xml:space="preserve"> casual</w:t>
      </w:r>
      <w:r w:rsidRPr="006254CA">
        <w:rPr>
          <w:sz w:val="24"/>
          <w:szCs w:val="24"/>
        </w:rPr>
        <w:t xml:space="preserve"> consumer</w:t>
      </w:r>
      <w:r w:rsidR="008D1A18" w:rsidRPr="006254CA">
        <w:rPr>
          <w:sz w:val="24"/>
          <w:szCs w:val="24"/>
        </w:rPr>
        <w:t xml:space="preserve"> would know</w:t>
      </w:r>
      <w:r w:rsidR="00AB6EE8">
        <w:rPr>
          <w:sz w:val="24"/>
          <w:szCs w:val="24"/>
        </w:rPr>
        <w:t xml:space="preserve"> such information</w:t>
      </w:r>
      <w:r w:rsidR="008D1A18" w:rsidRPr="006254CA">
        <w:rPr>
          <w:sz w:val="24"/>
          <w:szCs w:val="24"/>
        </w:rPr>
        <w:t xml:space="preserve"> is merely descriptive of the content</w:t>
      </w:r>
      <w:r w:rsidR="00AB6EE8">
        <w:rPr>
          <w:sz w:val="24"/>
          <w:szCs w:val="24"/>
        </w:rPr>
        <w:t xml:space="preserve"> on the website, and not indicative of its affiliation</w:t>
      </w:r>
      <w:r w:rsidR="001D681E">
        <w:rPr>
          <w:sz w:val="24"/>
          <w:szCs w:val="24"/>
        </w:rPr>
        <w:t xml:space="preserve"> </w:t>
      </w:r>
      <w:r w:rsidR="007866FF">
        <w:rPr>
          <w:sz w:val="24"/>
          <w:szCs w:val="24"/>
        </w:rPr>
        <w:t>and therefore</w:t>
      </w:r>
      <w:r w:rsidR="001D681E">
        <w:rPr>
          <w:sz w:val="24"/>
          <w:szCs w:val="24"/>
        </w:rPr>
        <w:t xml:space="preserve"> they would not be confused at first impression</w:t>
      </w:r>
      <w:r w:rsidRPr="006254CA">
        <w:rPr>
          <w:sz w:val="24"/>
          <w:szCs w:val="24"/>
        </w:rPr>
        <w:t xml:space="preserve">. </w:t>
      </w:r>
      <w:r w:rsidR="00C13760" w:rsidRPr="006254CA">
        <w:rPr>
          <w:sz w:val="24"/>
          <w:szCs w:val="24"/>
        </w:rPr>
        <w:t>Th</w:t>
      </w:r>
      <w:r w:rsidR="008D1A18" w:rsidRPr="006254CA">
        <w:rPr>
          <w:sz w:val="24"/>
          <w:szCs w:val="24"/>
        </w:rPr>
        <w:t>is is an illustration of how what a “casual consumer” understands at a brief glance changes over time</w:t>
      </w:r>
      <w:r w:rsidR="007866FF">
        <w:rPr>
          <w:sz w:val="24"/>
          <w:szCs w:val="24"/>
        </w:rPr>
        <w:t xml:space="preserve">. There is no doubt that skills and understanding regarding the internet changed from 2001 to 2014 and thus what information the casual consumer had on first impression also changed. </w:t>
      </w:r>
      <w:r w:rsidR="001D681E">
        <w:rPr>
          <w:sz w:val="24"/>
          <w:szCs w:val="24"/>
        </w:rPr>
        <w:t xml:space="preserve">In creating a test which analyze the test person as one who uses their immediate knowledge to make a determination Binnie J ensured that </w:t>
      </w:r>
      <w:r w:rsidR="000D3D76">
        <w:rPr>
          <w:sz w:val="24"/>
          <w:szCs w:val="24"/>
        </w:rPr>
        <w:t xml:space="preserve">the test person was one which would change and evolve over time. </w:t>
      </w:r>
    </w:p>
    <w:sectPr w:rsidR="009916AB" w:rsidRPr="006254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F91D" w14:textId="77777777" w:rsidR="00183496" w:rsidRDefault="00183496" w:rsidP="00F560D1">
      <w:pPr>
        <w:spacing w:after="0" w:line="240" w:lineRule="auto"/>
      </w:pPr>
      <w:r>
        <w:separator/>
      </w:r>
    </w:p>
  </w:endnote>
  <w:endnote w:type="continuationSeparator" w:id="0">
    <w:p w14:paraId="508255B8" w14:textId="77777777" w:rsidR="00183496" w:rsidRDefault="00183496" w:rsidP="00F5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B592E" w14:textId="77777777" w:rsidR="00183496" w:rsidRDefault="00183496" w:rsidP="00F560D1">
      <w:pPr>
        <w:spacing w:after="0" w:line="240" w:lineRule="auto"/>
      </w:pPr>
      <w:r>
        <w:separator/>
      </w:r>
    </w:p>
  </w:footnote>
  <w:footnote w:type="continuationSeparator" w:id="0">
    <w:p w14:paraId="26C70A86" w14:textId="77777777" w:rsidR="00183496" w:rsidRDefault="00183496" w:rsidP="00F560D1">
      <w:pPr>
        <w:spacing w:after="0" w:line="240" w:lineRule="auto"/>
      </w:pPr>
      <w:r>
        <w:continuationSeparator/>
      </w:r>
    </w:p>
  </w:footnote>
  <w:footnote w:id="1">
    <w:p w14:paraId="7F5AE4DA" w14:textId="69C5B348" w:rsidR="00F560D1" w:rsidRDefault="00F560D1">
      <w:pPr>
        <w:pStyle w:val="FootnoteText"/>
      </w:pPr>
      <w:r>
        <w:rPr>
          <w:rStyle w:val="FootnoteReference"/>
        </w:rPr>
        <w:footnoteRef/>
      </w:r>
      <w:r>
        <w:t xml:space="preserve"> </w:t>
      </w:r>
      <w:r w:rsidRPr="000A2260">
        <w:rPr>
          <w:i/>
          <w:iCs/>
        </w:rPr>
        <w:t xml:space="preserve">Edwards v. Canada (Attorney General), </w:t>
      </w:r>
      <w:r w:rsidRPr="000A2260">
        <w:t xml:space="preserve">1929 </w:t>
      </w:r>
      <w:r w:rsidR="000A2260">
        <w:t xml:space="preserve">UK JCPC </w:t>
      </w:r>
      <w:r w:rsidRPr="000A2260">
        <w:t>CanLII 438</w:t>
      </w:r>
      <w:r w:rsidR="000A2260">
        <w:t>.</w:t>
      </w:r>
    </w:p>
  </w:footnote>
  <w:footnote w:id="2">
    <w:p w14:paraId="5A0C1FCC" w14:textId="3DAFBEC2" w:rsidR="007B7E8C" w:rsidRDefault="007B7E8C">
      <w:pPr>
        <w:pStyle w:val="FootnoteText"/>
      </w:pPr>
      <w:r>
        <w:rPr>
          <w:rStyle w:val="FootnoteReference"/>
        </w:rPr>
        <w:footnoteRef/>
      </w:r>
      <w:r>
        <w:t xml:space="preserve"> </w:t>
      </w:r>
      <w:bookmarkStart w:id="0" w:name="_Hlk67851059"/>
      <w:r w:rsidRPr="000A2260">
        <w:rPr>
          <w:i/>
          <w:iCs/>
        </w:rPr>
        <w:t>Trademarks Act</w:t>
      </w:r>
      <w:r w:rsidRPr="007B7E8C">
        <w:t xml:space="preserve"> (R.S.C., 1985, c. T-13)</w:t>
      </w:r>
      <w:bookmarkEnd w:id="0"/>
      <w:r w:rsidR="000A2260">
        <w:t xml:space="preserve"> [</w:t>
      </w:r>
      <w:bookmarkStart w:id="1" w:name="_Hlk68506194"/>
      <w:r w:rsidR="000A2260">
        <w:t>Trademarks Act</w:t>
      </w:r>
      <w:bookmarkEnd w:id="1"/>
      <w:r w:rsidR="000A2260">
        <w:t>].</w:t>
      </w:r>
    </w:p>
  </w:footnote>
  <w:footnote w:id="3">
    <w:p w14:paraId="405221AA" w14:textId="55D8FEB4" w:rsidR="00286EC0" w:rsidRDefault="00286EC0" w:rsidP="00286EC0">
      <w:pPr>
        <w:pStyle w:val="FootnoteText"/>
      </w:pPr>
      <w:r>
        <w:rPr>
          <w:rStyle w:val="FootnoteReference"/>
        </w:rPr>
        <w:footnoteRef/>
      </w:r>
      <w:r>
        <w:t xml:space="preserve"> </w:t>
      </w:r>
      <w:r w:rsidRPr="000A2260">
        <w:rPr>
          <w:i/>
          <w:iCs/>
        </w:rPr>
        <w:t>Mattel Inc v. 3894207 Canada Inc</w:t>
      </w:r>
      <w:r w:rsidRPr="00B121D9">
        <w:t xml:space="preserve"> 2006 SCC 22</w:t>
      </w:r>
      <w:r w:rsidR="000A2260">
        <w:t>.</w:t>
      </w:r>
    </w:p>
  </w:footnote>
  <w:footnote w:id="4">
    <w:p w14:paraId="25B75BD4" w14:textId="40B0B33D" w:rsidR="007B7E8C" w:rsidRDefault="007B7E8C">
      <w:pPr>
        <w:pStyle w:val="FootnoteText"/>
      </w:pPr>
      <w:r>
        <w:rPr>
          <w:rStyle w:val="FootnoteReference"/>
        </w:rPr>
        <w:footnoteRef/>
      </w:r>
      <w:r>
        <w:t xml:space="preserve"> </w:t>
      </w:r>
      <w:r w:rsidR="000A2260" w:rsidRPr="000A2260">
        <w:rPr>
          <w:i/>
          <w:iCs/>
        </w:rPr>
        <w:t>Trademarks Act</w:t>
      </w:r>
      <w:r w:rsidR="000A2260" w:rsidRPr="007B7E8C">
        <w:t xml:space="preserve"> </w:t>
      </w:r>
      <w:r>
        <w:t>s.12(2)(d)</w:t>
      </w:r>
      <w:r w:rsidR="000A2260">
        <w:t>.</w:t>
      </w:r>
    </w:p>
  </w:footnote>
  <w:footnote w:id="5">
    <w:p w14:paraId="0DEE4E31" w14:textId="2053DD88" w:rsidR="007B7E8C" w:rsidRDefault="007B7E8C">
      <w:pPr>
        <w:pStyle w:val="FootnoteText"/>
      </w:pPr>
      <w:r>
        <w:rPr>
          <w:rStyle w:val="FootnoteReference"/>
        </w:rPr>
        <w:footnoteRef/>
      </w:r>
      <w:r>
        <w:t xml:space="preserve"> </w:t>
      </w:r>
      <w:r w:rsidR="000A2260" w:rsidRPr="000A2260">
        <w:rPr>
          <w:i/>
          <w:iCs/>
        </w:rPr>
        <w:t>Trademarks Act</w:t>
      </w:r>
      <w:r w:rsidR="000A2260">
        <w:t xml:space="preserve"> </w:t>
      </w:r>
      <w:r>
        <w:t>s.6(2)</w:t>
      </w:r>
      <w:r w:rsidR="000A2260">
        <w:t>.</w:t>
      </w:r>
    </w:p>
  </w:footnote>
  <w:footnote w:id="6">
    <w:p w14:paraId="7B24AAD6" w14:textId="0C3AA3F5" w:rsidR="007B7E8C" w:rsidRDefault="007B7E8C">
      <w:pPr>
        <w:pStyle w:val="FootnoteText"/>
      </w:pPr>
      <w:r>
        <w:rPr>
          <w:rStyle w:val="FootnoteReference"/>
        </w:rPr>
        <w:footnoteRef/>
      </w:r>
      <w:r>
        <w:t xml:space="preserve"> </w:t>
      </w:r>
      <w:r w:rsidR="000A2260" w:rsidRPr="000A2260">
        <w:rPr>
          <w:i/>
          <w:iCs/>
        </w:rPr>
        <w:t>Trademarks Act</w:t>
      </w:r>
      <w:r w:rsidR="000A2260">
        <w:t xml:space="preserve"> </w:t>
      </w:r>
      <w:r>
        <w:t>s.6(5)</w:t>
      </w:r>
      <w:r w:rsidR="000A2260">
        <w:t>.</w:t>
      </w:r>
    </w:p>
  </w:footnote>
  <w:footnote w:id="7">
    <w:p w14:paraId="0715495B" w14:textId="00B02D8A" w:rsidR="00BC2F7D" w:rsidRDefault="00BC2F7D">
      <w:pPr>
        <w:pStyle w:val="FootnoteText"/>
      </w:pPr>
      <w:r>
        <w:rPr>
          <w:rStyle w:val="FootnoteReference"/>
        </w:rPr>
        <w:footnoteRef/>
      </w:r>
      <w:r>
        <w:t xml:space="preserve"> </w:t>
      </w:r>
      <w:r w:rsidRPr="000A2260">
        <w:rPr>
          <w:i/>
          <w:iCs/>
        </w:rPr>
        <w:t>Mattel, Inc v. 3894207 Canada Inc</w:t>
      </w:r>
      <w:r>
        <w:t xml:space="preserve"> 2006 SCC 22</w:t>
      </w:r>
      <w:r w:rsidR="000A2260">
        <w:t>.</w:t>
      </w:r>
    </w:p>
  </w:footnote>
  <w:footnote w:id="8">
    <w:p w14:paraId="016EBDF4" w14:textId="3CB7E9E0" w:rsidR="007B7E8C" w:rsidRDefault="007B7E8C">
      <w:pPr>
        <w:pStyle w:val="FootnoteText"/>
      </w:pPr>
      <w:r>
        <w:rPr>
          <w:rStyle w:val="FootnoteReference"/>
        </w:rPr>
        <w:footnoteRef/>
      </w:r>
      <w:r>
        <w:t xml:space="preserve"> </w:t>
      </w:r>
      <w:r w:rsidRPr="000A2260">
        <w:rPr>
          <w:i/>
          <w:iCs/>
        </w:rPr>
        <w:t>Veuve Clicquot Ponsardin v. Boutiques Cliquot Ltée</w:t>
      </w:r>
      <w:r w:rsidRPr="007B7E8C">
        <w:t>, 2006 SCC 23 (CanLII), [2006] 1 SCR 824</w:t>
      </w:r>
      <w:r>
        <w:t>. [</w:t>
      </w:r>
      <w:r w:rsidRPr="000A2260">
        <w:t>Veuve Clicquot</w:t>
      </w:r>
      <w:r>
        <w:t>]</w:t>
      </w:r>
    </w:p>
  </w:footnote>
  <w:footnote w:id="9">
    <w:p w14:paraId="5383354D" w14:textId="24BAF141" w:rsidR="007B7E8C" w:rsidRDefault="007B7E8C">
      <w:pPr>
        <w:pStyle w:val="FootnoteText"/>
      </w:pPr>
      <w:r>
        <w:rPr>
          <w:rStyle w:val="FootnoteReference"/>
        </w:rPr>
        <w:footnoteRef/>
      </w:r>
      <w:r>
        <w:t xml:space="preserve"> </w:t>
      </w:r>
      <w:r w:rsidRPr="007B7E8C">
        <w:rPr>
          <w:i/>
          <w:iCs/>
        </w:rPr>
        <w:t>Veuve Clicquot</w:t>
      </w:r>
      <w:r>
        <w:rPr>
          <w:i/>
          <w:iCs/>
        </w:rPr>
        <w:t xml:space="preserve"> </w:t>
      </w:r>
      <w:r w:rsidRPr="000A2260">
        <w:t>para 20</w:t>
      </w:r>
      <w:r>
        <w:rPr>
          <w:i/>
          <w:iCs/>
        </w:rPr>
        <w:t>.</w:t>
      </w:r>
    </w:p>
  </w:footnote>
  <w:footnote w:id="10">
    <w:p w14:paraId="43491E08" w14:textId="01CFBB10" w:rsidR="00BC2F7D" w:rsidRDefault="00BC2F7D">
      <w:pPr>
        <w:pStyle w:val="FootnoteText"/>
      </w:pPr>
      <w:r>
        <w:rPr>
          <w:rStyle w:val="FootnoteReference"/>
        </w:rPr>
        <w:footnoteRef/>
      </w:r>
      <w:r>
        <w:t xml:space="preserve"> </w:t>
      </w:r>
      <w:r w:rsidRPr="000A2260">
        <w:rPr>
          <w:i/>
          <w:iCs/>
        </w:rPr>
        <w:t>BCCA et al v Office and Professional Employees’ Int Union et al</w:t>
      </w:r>
      <w:r>
        <w:t xml:space="preserve"> 2001 BCSC 156 para 212</w:t>
      </w:r>
      <w:r w:rsidR="000A2260">
        <w:t>.</w:t>
      </w:r>
    </w:p>
  </w:footnote>
  <w:footnote w:id="11">
    <w:p w14:paraId="52668AC8" w14:textId="19480392" w:rsidR="007B7E8C" w:rsidRDefault="007B7E8C">
      <w:pPr>
        <w:pStyle w:val="FootnoteText"/>
      </w:pPr>
      <w:r>
        <w:rPr>
          <w:rStyle w:val="FootnoteReference"/>
        </w:rPr>
        <w:footnoteRef/>
      </w:r>
      <w:r>
        <w:t xml:space="preserve"> </w:t>
      </w:r>
      <w:r w:rsidRPr="000A2260">
        <w:rPr>
          <w:i/>
          <w:iCs/>
        </w:rPr>
        <w:t xml:space="preserve">Insurance Corporation of British Columbia v. Stainton Ventures Ltd </w:t>
      </w:r>
      <w:r w:rsidRPr="000A2260">
        <w:t>2014 BCCA 296</w:t>
      </w:r>
      <w:r>
        <w:t xml:space="preserve"> para 39</w:t>
      </w:r>
      <w:r w:rsidR="000A226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62"/>
    <w:rsid w:val="00017BCC"/>
    <w:rsid w:val="000338D7"/>
    <w:rsid w:val="00060F41"/>
    <w:rsid w:val="00064A3F"/>
    <w:rsid w:val="000A2260"/>
    <w:rsid w:val="000A3831"/>
    <w:rsid w:val="000B4E89"/>
    <w:rsid w:val="000D3D76"/>
    <w:rsid w:val="000E55AC"/>
    <w:rsid w:val="00110873"/>
    <w:rsid w:val="001203DC"/>
    <w:rsid w:val="0016205A"/>
    <w:rsid w:val="00183496"/>
    <w:rsid w:val="001D681E"/>
    <w:rsid w:val="00286EC0"/>
    <w:rsid w:val="002A08AB"/>
    <w:rsid w:val="003A5DF8"/>
    <w:rsid w:val="003E0D0F"/>
    <w:rsid w:val="00437659"/>
    <w:rsid w:val="004D4F8F"/>
    <w:rsid w:val="00513DDD"/>
    <w:rsid w:val="005355AE"/>
    <w:rsid w:val="00541B2C"/>
    <w:rsid w:val="005513A9"/>
    <w:rsid w:val="005D6163"/>
    <w:rsid w:val="005E3E68"/>
    <w:rsid w:val="006254CA"/>
    <w:rsid w:val="00664ABD"/>
    <w:rsid w:val="00695A2F"/>
    <w:rsid w:val="00733012"/>
    <w:rsid w:val="007866FF"/>
    <w:rsid w:val="007A5357"/>
    <w:rsid w:val="007B7824"/>
    <w:rsid w:val="007B7E8C"/>
    <w:rsid w:val="0082396A"/>
    <w:rsid w:val="00871362"/>
    <w:rsid w:val="008D1A18"/>
    <w:rsid w:val="00903A2D"/>
    <w:rsid w:val="00930BBC"/>
    <w:rsid w:val="009916AB"/>
    <w:rsid w:val="00A05ED3"/>
    <w:rsid w:val="00AB6EE8"/>
    <w:rsid w:val="00B121D9"/>
    <w:rsid w:val="00B96FF6"/>
    <w:rsid w:val="00BC2F7D"/>
    <w:rsid w:val="00BC5067"/>
    <w:rsid w:val="00BF03E7"/>
    <w:rsid w:val="00BF6CD9"/>
    <w:rsid w:val="00C13760"/>
    <w:rsid w:val="00C71FE8"/>
    <w:rsid w:val="00C72D1C"/>
    <w:rsid w:val="00C97EF1"/>
    <w:rsid w:val="00D132F6"/>
    <w:rsid w:val="00D30FDE"/>
    <w:rsid w:val="00DB6EAA"/>
    <w:rsid w:val="00DD2B47"/>
    <w:rsid w:val="00E46C23"/>
    <w:rsid w:val="00E72D92"/>
    <w:rsid w:val="00F25516"/>
    <w:rsid w:val="00F368A9"/>
    <w:rsid w:val="00F560D1"/>
    <w:rsid w:val="00F717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1982"/>
  <w15:chartTrackingRefBased/>
  <w15:docId w15:val="{4452DE6F-0DAA-41EC-BD13-55847EF0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0D1"/>
    <w:rPr>
      <w:sz w:val="20"/>
      <w:szCs w:val="20"/>
    </w:rPr>
  </w:style>
  <w:style w:type="character" w:styleId="FootnoteReference">
    <w:name w:val="footnote reference"/>
    <w:basedOn w:val="DefaultParagraphFont"/>
    <w:uiPriority w:val="99"/>
    <w:semiHidden/>
    <w:unhideWhenUsed/>
    <w:rsid w:val="00F56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A2EAB-B98B-42A6-B47C-42EB89B6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Vishay S</dc:creator>
  <cp:keywords/>
  <dc:description/>
  <cp:lastModifiedBy>Vishay S</cp:lastModifiedBy>
  <cp:revision>14</cp:revision>
  <dcterms:created xsi:type="dcterms:W3CDTF">2021-04-05T16:16:00Z</dcterms:created>
  <dcterms:modified xsi:type="dcterms:W3CDTF">2021-04-05T16:40:00Z</dcterms:modified>
</cp:coreProperties>
</file>